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ACCESSIBILITY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rFonts w:ascii="Calibri" w:cs="Calibri" w:eastAsia="Calibri" w:hAnsi="Calibri"/>
          <w:i w:val="1"/>
          <w:rtl w:val="0"/>
        </w:rPr>
        <w:t xml:space="preserve">Accessible Canada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formation of an accessibility committee, </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development of an accessibility plan, and </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establishment of a comprehensive feedback mechanism.</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also commits to:</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comprehensive review of all programs, services, and new initiatives, ensuring they are fully accessible to all individuals; and </w:t>
      </w:r>
    </w:p>
    <w:p w:rsidR="00000000" w:rsidDel="00000000" w:rsidP="00000000" w:rsidRDefault="00000000" w:rsidRPr="00000000" w14:paraId="00000010">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Committee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recognizes the importance of ensuring that accessibility committees represent the diversity of Canadians, including persons with disabilities and Indigenous representation, as outlined in the Act.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Where feasible, </w:t>
      </w:r>
    </w:p>
    <w:p w:rsidR="00000000" w:rsidDel="00000000" w:rsidP="00000000" w:rsidRDefault="00000000" w:rsidRPr="00000000" w14:paraId="00000017">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50% of committee members will comprise </w:t>
      </w:r>
    </w:p>
    <w:p w:rsidR="00000000" w:rsidDel="00000000" w:rsidP="00000000" w:rsidRDefault="00000000" w:rsidRPr="00000000" w14:paraId="00000018">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persons with disabilities or </w:t>
      </w:r>
    </w:p>
    <w:p w:rsidR="00000000" w:rsidDel="00000000" w:rsidP="00000000" w:rsidRDefault="00000000" w:rsidRPr="00000000" w14:paraId="00000019">
      <w:pPr>
        <w:numPr>
          <w:ilvl w:val="1"/>
          <w:numId w:val="1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represent disability-serving organizations. </w:t>
      </w:r>
    </w:p>
    <w:p w:rsidR="00000000" w:rsidDel="00000000" w:rsidP="00000000" w:rsidRDefault="00000000" w:rsidRPr="00000000" w14:paraId="0000001A">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membership may also include individuals from both within and outside the organization to provide a range of perspectives and expertise.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The implementation of &lt;Organization Name&gt;'s accessibility plan will adhere to the following guiding principles:</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treated with dignity, respect, and equality.</w:t>
      </w:r>
    </w:p>
    <w:p w:rsidR="00000000" w:rsidDel="00000000" w:rsidP="00000000" w:rsidRDefault="00000000" w:rsidRPr="00000000" w14:paraId="00000021">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the same opportunity to lead the life they desire and are capable of.</w:t>
      </w:r>
    </w:p>
    <w:p w:rsidR="00000000" w:rsidDel="00000000" w:rsidP="00000000" w:rsidRDefault="00000000" w:rsidRPr="00000000" w14:paraId="00000022">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able to fully and equally participate in the company.</w:t>
      </w:r>
    </w:p>
    <w:p w:rsidR="00000000" w:rsidDel="00000000" w:rsidP="00000000" w:rsidRDefault="00000000" w:rsidRPr="00000000" w14:paraId="00000023">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meaningful choices and the freedom to make their own decisions, with appropriate support if necessary.</w:t>
      </w:r>
    </w:p>
    <w:p w:rsidR="00000000" w:rsidDel="00000000" w:rsidP="00000000" w:rsidRDefault="00000000" w:rsidRPr="00000000" w14:paraId="00000024">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policies must consider and address the various barriers and forms of discrimination that exist.</w:t>
      </w:r>
    </w:p>
    <w:p w:rsidR="00000000" w:rsidDel="00000000" w:rsidP="00000000" w:rsidRDefault="00000000" w:rsidRPr="00000000" w14:paraId="00000025">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must be actively involved in the development and design of policies, programs, services, and structures.</w:t>
      </w:r>
    </w:p>
    <w:p w:rsidR="00000000" w:rsidDel="00000000" w:rsidP="00000000" w:rsidRDefault="00000000" w:rsidRPr="00000000" w14:paraId="00000026">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Accessibility standards and regulations must be created to achieve the highest level of accessibility for all individuals.</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To fulfill its commitment to accessibility, &lt;Organization Name&gt; will undertake the following actions: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accessibility plans: </w:t>
      </w:r>
      <w:r w:rsidDel="00000000" w:rsidR="00000000" w:rsidRPr="00000000">
        <w:rPr>
          <w:rFonts w:ascii="Calibri" w:cs="Calibri" w:eastAsia="Calibri" w:hAnsi="Calibri"/>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rsidR="00000000" w:rsidDel="00000000" w:rsidP="00000000" w:rsidRDefault="00000000" w:rsidRPr="00000000" w14:paraId="0000002B">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Set up a feedback process: </w:t>
      </w:r>
      <w:r w:rsidDel="00000000" w:rsidR="00000000" w:rsidRPr="00000000">
        <w:rPr>
          <w:rFonts w:ascii="Calibri" w:cs="Calibri" w:eastAsia="Calibri" w:hAnsi="Calibri"/>
          <w:rtl w:val="0"/>
        </w:rPr>
        <w:t xml:space="preserve">The company will establish a mechanism to receive and address feedback on accessibility to ensure that individuals with disabilities can voice their concerns or suggestions.</w:t>
      </w:r>
    </w:p>
    <w:p w:rsidR="00000000" w:rsidDel="00000000" w:rsidP="00000000" w:rsidRDefault="00000000" w:rsidRPr="00000000" w14:paraId="0000002C">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progress reports: </w:t>
      </w:r>
      <w:r w:rsidDel="00000000" w:rsidR="00000000" w:rsidRPr="00000000">
        <w:rPr>
          <w:rFonts w:ascii="Calibri" w:cs="Calibri" w:eastAsia="Calibri" w:hAnsi="Calibri"/>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Employment</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acknowledges that persons with disabilities represent a significant portion of the Canadian workforce. In support of this, &lt;Organization Name&gt;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3">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4">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5">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8">
            <w:pPr>
              <w:widowControl w:val="0"/>
              <w:numPr>
                <w:ilvl w:val="0"/>
                <w:numId w:val="2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C">
            <w:pPr>
              <w:widowControl w:val="0"/>
              <w:numPr>
                <w:ilvl w:val="0"/>
                <w:numId w:val="1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Clarify staffing options to address underrepresentation</w:t>
            </w:r>
          </w:p>
          <w:p w:rsidR="00000000" w:rsidDel="00000000" w:rsidP="00000000" w:rsidRDefault="00000000" w:rsidRPr="00000000" w14:paraId="0000003D">
            <w:pPr>
              <w:widowControl w:val="0"/>
              <w:numPr>
                <w:ilvl w:val="0"/>
                <w:numId w:val="1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dissemination to all hiring managers and employees.</w:t>
            </w:r>
          </w:p>
          <w:p w:rsidR="00000000" w:rsidDel="00000000" w:rsidP="00000000" w:rsidRDefault="00000000" w:rsidRPr="00000000" w14:paraId="0000003E">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numPr>
                <w:ilvl w:val="0"/>
                <w:numId w:val="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 dedicated recruiter for persons with disabilities.</w:t>
            </w:r>
          </w:p>
          <w:p w:rsidR="00000000" w:rsidDel="00000000" w:rsidP="00000000" w:rsidRDefault="00000000" w:rsidRPr="00000000" w14:paraId="00000040">
            <w:pPr>
              <w:widowControl w:val="0"/>
              <w:numPr>
                <w:ilvl w:val="0"/>
                <w:numId w:val="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Hold targeted recruitment events for persons with disabilities.</w:t>
            </w:r>
          </w:p>
          <w:p w:rsidR="00000000" w:rsidDel="00000000" w:rsidP="00000000" w:rsidRDefault="00000000" w:rsidRPr="00000000" w14:paraId="00000041">
            <w:pPr>
              <w:widowControl w:val="0"/>
              <w:numPr>
                <w:ilvl w:val="0"/>
                <w:numId w:val="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2">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3">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4">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numPr>
                <w:ilvl w:val="0"/>
                <w:numId w:val="2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6">
            <w:pPr>
              <w:widowControl w:val="0"/>
              <w:numPr>
                <w:ilvl w:val="0"/>
                <w:numId w:val="6"/>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7">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Built Environment</w:t>
      </w:r>
    </w:p>
    <w:p w:rsidR="00000000" w:rsidDel="00000000" w:rsidP="00000000" w:rsidRDefault="00000000" w:rsidRPr="00000000" w14:paraId="0000005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7">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8">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9">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numPr>
                <w:ilvl w:val="0"/>
                <w:numId w:val="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numPr>
                <w:ilvl w:val="0"/>
                <w:numId w:val="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1">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2">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numPr>
                <w:ilvl w:val="0"/>
                <w:numId w:val="1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numPr>
                <w:ilvl w:val="0"/>
                <w:numId w:val="5"/>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numPr>
                <w:ilvl w:val="0"/>
                <w:numId w:val="2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Culture, Education, and Awareness</w:t>
      </w:r>
    </w:p>
    <w:p w:rsidR="00000000" w:rsidDel="00000000" w:rsidP="00000000" w:rsidRDefault="00000000" w:rsidRPr="00000000" w14:paraId="0000007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3"/>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F">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0">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1">
            <w:pPr>
              <w:widowControl w:val="0"/>
              <w:numPr>
                <w:ilvl w:val="0"/>
                <w:numId w:val="2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Develop an Accessibility site </w:t>
            </w:r>
          </w:p>
          <w:p w:rsidR="00000000" w:rsidDel="00000000" w:rsidP="00000000" w:rsidRDefault="00000000" w:rsidRPr="00000000" w14:paraId="00000082">
            <w:pPr>
              <w:widowControl w:val="0"/>
              <w:numPr>
                <w:ilvl w:val="0"/>
                <w:numId w:val="2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Post policies and procedures </w:t>
            </w:r>
          </w:p>
          <w:p w:rsidR="00000000" w:rsidDel="00000000" w:rsidP="00000000" w:rsidRDefault="00000000" w:rsidRPr="00000000" w14:paraId="00000083">
            <w:pPr>
              <w:widowControl w:val="0"/>
              <w:numPr>
                <w:ilvl w:val="0"/>
                <w:numId w:val="2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4">
            <w:pPr>
              <w:widowControl w:val="0"/>
              <w:numPr>
                <w:ilvl w:val="0"/>
                <w:numId w:val="1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8">
            <w:pPr>
              <w:widowControl w:val="0"/>
              <w:numPr>
                <w:ilvl w:val="0"/>
                <w:numId w:val="1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Enhance programming for National AccessAbility Awareness Week </w:t>
            </w:r>
          </w:p>
          <w:p w:rsidR="00000000" w:rsidDel="00000000" w:rsidP="00000000" w:rsidRDefault="00000000" w:rsidRPr="00000000" w14:paraId="00000089">
            <w:pPr>
              <w:widowControl w:val="0"/>
              <w:numPr>
                <w:ilvl w:val="0"/>
                <w:numId w:val="1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numPr>
                <w:ilvl w:val="0"/>
                <w:numId w:val="1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Communicate quarterly on accessibility matters </w:t>
            </w:r>
          </w:p>
          <w:p w:rsidR="00000000" w:rsidDel="00000000" w:rsidP="00000000" w:rsidRDefault="00000000" w:rsidRPr="00000000" w14:paraId="0000008B">
            <w:pPr>
              <w:widowControl w:val="0"/>
              <w:numPr>
                <w:ilvl w:val="0"/>
                <w:numId w:val="1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C">
            <w:pPr>
              <w:widowControl w:val="0"/>
              <w:numPr>
                <w:ilvl w:val="0"/>
                <w:numId w:val="19"/>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numPr>
                <w:ilvl w:val="0"/>
                <w:numId w:val="15"/>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1">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numPr>
                <w:ilvl w:val="0"/>
                <w:numId w:val="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numPr>
                <w:ilvl w:val="0"/>
                <w:numId w:val="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Technologies</w:t>
      </w:r>
    </w:p>
    <w:p w:rsidR="00000000" w:rsidDel="00000000" w:rsidP="00000000" w:rsidRDefault="00000000" w:rsidRPr="00000000" w14:paraId="0000009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&lt;Organization Name&gt;</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3">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4">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5">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A">
            <w:pPr>
              <w:widowControl w:val="0"/>
              <w:numPr>
                <w:ilvl w:val="0"/>
                <w:numId w:val="11"/>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technicians in accessibility, job accommodations, and adaptive technology, </w:t>
            </w:r>
          </w:p>
          <w:p w:rsidR="00000000" w:rsidDel="00000000" w:rsidP="00000000" w:rsidRDefault="00000000" w:rsidRPr="00000000" w14:paraId="000000AB">
            <w:pPr>
              <w:widowControl w:val="0"/>
              <w:numPr>
                <w:ilvl w:val="0"/>
                <w:numId w:val="11"/>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hands-on support and accessibility evaluations for applications and websites. </w:t>
            </w:r>
          </w:p>
          <w:p w:rsidR="00000000" w:rsidDel="00000000" w:rsidP="00000000" w:rsidRDefault="00000000" w:rsidRPr="00000000" w14:paraId="000000AC">
            <w:pPr>
              <w:widowControl w:val="0"/>
              <w:numPr>
                <w:ilvl w:val="0"/>
                <w:numId w:val="11"/>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D">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F">
            <w:pPr>
              <w:widowControl w:val="0"/>
              <w:numPr>
                <w:ilvl w:val="0"/>
                <w:numId w:val="1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0">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1">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3">
            <w:pPr>
              <w:widowControl w:val="0"/>
              <w:numPr>
                <w:ilvl w:val="0"/>
                <w:numId w:val="2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7">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Communication</w:t>
      </w:r>
    </w:p>
    <w:p w:rsidR="00000000" w:rsidDel="00000000" w:rsidP="00000000" w:rsidRDefault="00000000" w:rsidRPr="00000000" w14:paraId="000000C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7">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8">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9">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A">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numPr>
                <w:ilvl w:val="0"/>
                <w:numId w:val="20"/>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a plain-language awareness campaign.</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E">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F">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numPr>
                <w:ilvl w:val="0"/>
                <w:numId w:val="1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Include accessible document creation in onboarding and improve templates for briefing notes, presentations, agendas and other documents.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numPr>
                <w:ilvl w:val="0"/>
                <w:numId w:val="1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D2">
            <w:pPr>
              <w:widowControl w:val="0"/>
              <w:numPr>
                <w:ilvl w:val="0"/>
                <w:numId w:val="12"/>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4">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7">
            <w:pPr>
              <w:widowControl w:val="0"/>
              <w:numPr>
                <w:ilvl w:val="0"/>
                <w:numId w:val="8"/>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intranet and internet sites accessible for all information posted.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Services</w:t>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w:t>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7">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8">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9">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B">
            <w:pPr>
              <w:widowControl w:val="0"/>
              <w:numPr>
                <w:ilvl w:val="0"/>
                <w:numId w:val="28"/>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Mandate accessibility training for procurement officers.</w:t>
            </w:r>
          </w:p>
          <w:p w:rsidR="00000000" w:rsidDel="00000000" w:rsidP="00000000" w:rsidRDefault="00000000" w:rsidRPr="00000000" w14:paraId="000000EC">
            <w:pPr>
              <w:widowControl w:val="0"/>
              <w:numPr>
                <w:ilvl w:val="0"/>
                <w:numId w:val="28"/>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awareness and provide resources for accessible procurement.</w:t>
            </w:r>
          </w:p>
          <w:p w:rsidR="00000000" w:rsidDel="00000000" w:rsidP="00000000" w:rsidRDefault="00000000" w:rsidRPr="00000000" w14:paraId="000000E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F">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accessibility of the selection and purchase of goods and services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numPr>
                <w:ilvl w:val="0"/>
                <w:numId w:val="1"/>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Consult with employees with disabilities before choosing procurement furniture for common spaces.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3">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Feedback Mechanism</w:t>
      </w:r>
    </w:p>
    <w:p w:rsidR="00000000" w:rsidDel="00000000" w:rsidP="00000000" w:rsidRDefault="00000000" w:rsidRPr="00000000" w14:paraId="000000F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Any employee who has concerns or requests regarding accessibility should contact </w:t>
      </w:r>
      <w:r w:rsidDel="00000000" w:rsidR="00000000" w:rsidRPr="00000000">
        <w:rPr>
          <w:rFonts w:ascii="Calibri" w:cs="Calibri" w:eastAsia="Calibri" w:hAnsi="Calibri"/>
          <w:highlight w:val="yellow"/>
          <w:rtl w:val="0"/>
        </w:rPr>
        <w:t xml:space="preserve">[insert here the name/title/department in charge, e.g., the accessibility committee representative]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highlight w:val="yellow"/>
          <w:rtl w:val="0"/>
        </w:rPr>
        <w:t xml:space="preserve">[insert means, e.g., calling or emailing] [insert the details, e.g., telephone number or email address].</w:t>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Requests for accessibility accommodation will be discussed between &lt;Organization Name&gt; and the accessibility committee. Depending on the outcome of the discussion, the accessibility plan will be updated accordingly, and changes shall be communicated to every employee via </w:t>
      </w:r>
      <w:r w:rsidDel="00000000" w:rsidR="00000000" w:rsidRPr="00000000">
        <w:rPr>
          <w:rFonts w:ascii="Calibri" w:cs="Calibri" w:eastAsia="Calibri" w:hAnsi="Calibri"/>
          <w:highlight w:val="yellow"/>
          <w:rtl w:val="0"/>
        </w:rPr>
        <w:t xml:space="preserve">[insert means or channels of communication, e.g., intranet posting, email, bulletin board].</w:t>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10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Fonts w:ascii="Calibri" w:cs="Calibri" w:eastAsia="Calibri" w:hAnsi="Calibri"/>
          <w:rtl w:val="0"/>
        </w:rPr>
        <w:t xml:space="preserve">The initiatives include the following:</w:t>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mandatory training on unconscious bias, accessibility, barriers, and inclusion to all managers, supervisors, team leaders, executives, and HR professionals, </w:t>
      </w:r>
    </w:p>
    <w:p w:rsidR="00000000" w:rsidDel="00000000" w:rsidP="00000000" w:rsidRDefault="00000000" w:rsidRPr="00000000" w14:paraId="0000010C">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Offering training to reduce attitudinal barriers, </w:t>
      </w:r>
    </w:p>
    <w:p w:rsidR="00000000" w:rsidDel="00000000" w:rsidP="00000000" w:rsidRDefault="00000000" w:rsidRPr="00000000" w14:paraId="0000010D">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Educating and providing support to managers on employees' performance evaluations, </w:t>
      </w:r>
    </w:p>
    <w:p w:rsidR="00000000" w:rsidDel="00000000" w:rsidP="00000000" w:rsidRDefault="00000000" w:rsidRPr="00000000" w14:paraId="0000010E">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training to all employees to improve the work environment for individuals with a disability, and making sign language training available to employees, and </w:t>
      </w:r>
    </w:p>
    <w:p w:rsidR="00000000" w:rsidDel="00000000" w:rsidP="00000000" w:rsidRDefault="00000000" w:rsidRPr="00000000" w14:paraId="0000010F">
      <w:pPr>
        <w:numPr>
          <w:ilvl w:val="0"/>
          <w:numId w:val="18"/>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more items as necessary]</w:t>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Review of Policy and Plans</w:t>
      </w:r>
    </w:p>
    <w:p w:rsidR="00000000" w:rsidDel="00000000" w:rsidP="00000000" w:rsidRDefault="00000000" w:rsidRPr="00000000" w14:paraId="0000011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The accessibility policy and any associating accessibility plans shall be reviewed </w:t>
      </w:r>
      <w:r w:rsidDel="00000000" w:rsidR="00000000" w:rsidRPr="00000000">
        <w:rPr>
          <w:rFonts w:ascii="Calibri" w:cs="Calibri" w:eastAsia="Calibri" w:hAnsi="Calibri"/>
          <w:highlight w:val="yellow"/>
          <w:rtl w:val="0"/>
        </w:rPr>
        <w:t xml:space="preserve">[Insert frequency, e.g., Once every three years, yearly]</w:t>
      </w:r>
      <w:r w:rsidDel="00000000" w:rsidR="00000000" w:rsidRPr="00000000">
        <w:rPr>
          <w:rFonts w:ascii="Calibri" w:cs="Calibri" w:eastAsia="Calibri" w:hAnsi="Calibri"/>
          <w:rtl w:val="0"/>
        </w:rPr>
        <w:t xml:space="preserve"> or when deemed necessary by &lt;Organization Name&gt; and the accessibility committee.</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Posted</w:t>
      </w:r>
    </w:p>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Our commitment to accessibility will be posted and available [</w:t>
      </w:r>
      <w:r w:rsidDel="00000000" w:rsidR="00000000" w:rsidRPr="00000000">
        <w:rPr>
          <w:rFonts w:ascii="Calibri" w:cs="Calibri" w:eastAsia="Calibri" w:hAnsi="Calibri"/>
          <w:highlight w:val="yellow"/>
          <w:rtl w:val="0"/>
        </w:rPr>
        <w:t xml:space="preserve">Insert where</w:t>
      </w: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jc w:val="center"/>
      <w:rPr/>
    </w:pPr>
    <w:r w:rsidDel="00000000" w:rsidR="00000000" w:rsidRPr="00000000">
      <w:rPr/>
      <w:drawing>
        <wp:inline distB="114300" distT="114300" distL="114300" distR="114300">
          <wp:extent cx="2160000" cy="540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HeFnBwOl2VqZCflkavszitBpg==">CgMxLjAyCGguZ2pkZ3hzOAByITFiTjE2aDhFTlZ6MjFWam40WDNobEJVQVdObmx6RmdzbQ==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